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1044" w:firstLineChars="200"/>
        <w:jc w:val="center"/>
        <w:rPr>
          <w:rFonts w:ascii="华文中宋" w:hAnsi="华文中宋" w:eastAsia="华文中宋"/>
          <w:b/>
          <w:bCs/>
          <w:kern w:val="0"/>
          <w:sz w:val="52"/>
          <w:szCs w:val="52"/>
        </w:rPr>
      </w:pPr>
    </w:p>
    <w:p>
      <w:pPr>
        <w:spacing w:line="560" w:lineRule="exact"/>
        <w:ind w:firstLine="1044" w:firstLineChars="200"/>
        <w:jc w:val="center"/>
        <w:rPr>
          <w:rFonts w:ascii="华文中宋" w:hAnsi="华文中宋" w:eastAsia="华文中宋"/>
          <w:b/>
          <w:bCs/>
          <w:kern w:val="0"/>
          <w:sz w:val="52"/>
          <w:szCs w:val="52"/>
        </w:rPr>
      </w:pPr>
    </w:p>
    <w:p>
      <w:pPr>
        <w:spacing w:line="560" w:lineRule="exact"/>
        <w:ind w:firstLine="1044" w:firstLineChars="200"/>
        <w:jc w:val="center"/>
        <w:rPr>
          <w:rFonts w:ascii="华文中宋" w:hAnsi="华文中宋" w:eastAsia="华文中宋"/>
          <w:b/>
          <w:bCs/>
          <w:kern w:val="0"/>
          <w:sz w:val="52"/>
          <w:szCs w:val="52"/>
        </w:rPr>
      </w:pPr>
    </w:p>
    <w:p>
      <w:pPr>
        <w:spacing w:line="560" w:lineRule="exact"/>
        <w:ind w:firstLine="1044" w:firstLineChars="200"/>
        <w:jc w:val="center"/>
        <w:rPr>
          <w:rFonts w:ascii="华文中宋" w:hAnsi="华文中宋" w:eastAsia="华文中宋"/>
          <w:b/>
          <w:bCs/>
          <w:kern w:val="0"/>
          <w:sz w:val="52"/>
          <w:szCs w:val="52"/>
        </w:rPr>
      </w:pPr>
    </w:p>
    <w:p>
      <w:pPr>
        <w:spacing w:line="560" w:lineRule="exact"/>
        <w:ind w:firstLine="1044" w:firstLineChars="200"/>
        <w:jc w:val="center"/>
        <w:rPr>
          <w:rFonts w:ascii="华文中宋" w:hAnsi="华文中宋" w:eastAsia="华文中宋"/>
          <w:b/>
          <w:bCs/>
          <w:kern w:val="0"/>
          <w:sz w:val="52"/>
          <w:szCs w:val="52"/>
        </w:rPr>
      </w:pPr>
    </w:p>
    <w:p>
      <w:pPr>
        <w:spacing w:line="560" w:lineRule="exact"/>
        <w:ind w:firstLine="1044" w:firstLineChars="200"/>
        <w:jc w:val="center"/>
        <w:rPr>
          <w:rFonts w:ascii="华文中宋" w:hAnsi="华文中宋" w:eastAsia="华文中宋"/>
          <w:b/>
          <w:bCs/>
          <w:kern w:val="0"/>
          <w:sz w:val="52"/>
          <w:szCs w:val="52"/>
        </w:rPr>
      </w:pPr>
    </w:p>
    <w:p>
      <w:pPr>
        <w:spacing w:line="560" w:lineRule="exact"/>
        <w:ind w:firstLine="1044" w:firstLineChars="200"/>
        <w:jc w:val="center"/>
        <w:rPr>
          <w:rFonts w:ascii="华文中宋" w:hAnsi="华文中宋" w:eastAsia="华文中宋"/>
          <w:b/>
          <w:bCs/>
          <w:kern w:val="0"/>
          <w:sz w:val="52"/>
          <w:szCs w:val="52"/>
        </w:rPr>
      </w:pPr>
      <w:r>
        <w:rPr>
          <w:rFonts w:hint="eastAsia" w:ascii="华文中宋" w:hAnsi="华文中宋" w:eastAsia="华文中宋" w:cs="华文中宋"/>
          <w:b/>
          <w:bCs/>
          <w:kern w:val="0"/>
          <w:sz w:val="52"/>
          <w:szCs w:val="52"/>
        </w:rPr>
        <w:t>新疆财政支出绩效自评报告</w:t>
      </w:r>
    </w:p>
    <w:p>
      <w:pPr>
        <w:spacing w:line="560" w:lineRule="exact"/>
        <w:ind w:firstLine="1044" w:firstLineChars="200"/>
        <w:jc w:val="center"/>
        <w:rPr>
          <w:rFonts w:ascii="华文中宋" w:hAnsi="华文中宋" w:eastAsia="华文中宋"/>
          <w:b/>
          <w:bCs/>
          <w:kern w:val="0"/>
          <w:sz w:val="52"/>
          <w:szCs w:val="52"/>
        </w:rPr>
      </w:pPr>
    </w:p>
    <w:p>
      <w:pPr>
        <w:spacing w:line="560" w:lineRule="exact"/>
        <w:ind w:firstLine="720" w:firstLineChars="200"/>
        <w:jc w:val="center"/>
        <w:rPr>
          <w:rFonts w:hAnsi="宋体" w:eastAsia="Times New Roman"/>
          <w:kern w:val="0"/>
          <w:sz w:val="36"/>
          <w:szCs w:val="36"/>
        </w:rPr>
      </w:pPr>
      <w:r>
        <w:rPr>
          <w:rFonts w:hAnsi="宋体" w:eastAsia="Times New Roman"/>
          <w:kern w:val="0"/>
          <w:sz w:val="36"/>
          <w:szCs w:val="36"/>
        </w:rPr>
        <w:t>（2018年度）</w:t>
      </w:r>
    </w:p>
    <w:p>
      <w:pPr>
        <w:spacing w:line="560" w:lineRule="exact"/>
        <w:ind w:firstLine="600" w:firstLineChars="200"/>
        <w:jc w:val="center"/>
        <w:rPr>
          <w:rFonts w:hAnsi="宋体" w:eastAsia="Times New Roman"/>
          <w:kern w:val="0"/>
          <w:sz w:val="30"/>
          <w:szCs w:val="30"/>
        </w:rPr>
      </w:pPr>
    </w:p>
    <w:p>
      <w:pPr>
        <w:spacing w:line="560" w:lineRule="exact"/>
        <w:ind w:firstLine="600" w:firstLineChars="200"/>
        <w:jc w:val="center"/>
        <w:rPr>
          <w:rFonts w:hAnsi="宋体" w:eastAsia="Times New Roman"/>
          <w:kern w:val="0"/>
          <w:sz w:val="30"/>
          <w:szCs w:val="30"/>
        </w:rPr>
      </w:pPr>
    </w:p>
    <w:p>
      <w:pPr>
        <w:spacing w:line="560" w:lineRule="exact"/>
        <w:ind w:firstLine="600" w:firstLineChars="200"/>
        <w:jc w:val="center"/>
        <w:rPr>
          <w:rFonts w:hAnsi="宋体" w:eastAsia="Times New Roman"/>
          <w:kern w:val="0"/>
          <w:sz w:val="30"/>
          <w:szCs w:val="30"/>
        </w:rPr>
      </w:pPr>
    </w:p>
    <w:p>
      <w:pPr>
        <w:spacing w:line="560" w:lineRule="exact"/>
        <w:ind w:firstLine="600" w:firstLineChars="200"/>
        <w:jc w:val="center"/>
        <w:rPr>
          <w:rFonts w:hAnsi="宋体" w:eastAsia="Times New Roman"/>
          <w:kern w:val="0"/>
          <w:sz w:val="30"/>
          <w:szCs w:val="30"/>
        </w:rPr>
      </w:pPr>
    </w:p>
    <w:p>
      <w:pPr>
        <w:spacing w:line="560" w:lineRule="exact"/>
        <w:ind w:firstLine="600" w:firstLineChars="200"/>
        <w:jc w:val="center"/>
        <w:rPr>
          <w:rFonts w:hAnsi="宋体" w:eastAsia="Times New Roman"/>
          <w:kern w:val="0"/>
          <w:sz w:val="30"/>
          <w:szCs w:val="30"/>
        </w:rPr>
      </w:pPr>
    </w:p>
    <w:p>
      <w:pPr>
        <w:spacing w:line="560" w:lineRule="exact"/>
        <w:ind w:firstLine="600" w:firstLineChars="200"/>
        <w:jc w:val="center"/>
        <w:rPr>
          <w:rFonts w:hAnsi="宋体" w:eastAsia="Times New Roman"/>
          <w:kern w:val="0"/>
          <w:sz w:val="30"/>
          <w:szCs w:val="30"/>
        </w:rPr>
      </w:pPr>
    </w:p>
    <w:p>
      <w:pPr>
        <w:spacing w:line="560" w:lineRule="exact"/>
        <w:ind w:firstLine="600" w:firstLineChars="200"/>
        <w:rPr>
          <w:rFonts w:hAnsi="宋体" w:eastAsia="Times New Roman"/>
          <w:kern w:val="0"/>
          <w:sz w:val="30"/>
          <w:szCs w:val="30"/>
        </w:rPr>
      </w:pPr>
    </w:p>
    <w:p>
      <w:pPr>
        <w:spacing w:line="560" w:lineRule="exact"/>
        <w:ind w:left="2238" w:leftChars="304" w:hanging="1600" w:hangingChars="5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项目名称：促进教育事业发展经费项目</w:t>
      </w:r>
    </w:p>
    <w:p>
      <w:pPr>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实施单位（公章）：新疆维吾尔自治区喀什地区教育局  </w:t>
      </w:r>
    </w:p>
    <w:p>
      <w:pPr>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自治区主管部门（公章）：</w:t>
      </w:r>
    </w:p>
    <w:p>
      <w:pPr>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项目负责人（签章）：李炳宏</w:t>
      </w:r>
    </w:p>
    <w:p>
      <w:pPr>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填报时间：2018年 12月 24日</w:t>
      </w:r>
    </w:p>
    <w:p>
      <w:pPr>
        <w:spacing w:line="560" w:lineRule="exact"/>
        <w:ind w:firstLine="600" w:firstLineChars="200"/>
        <w:jc w:val="center"/>
        <w:rPr>
          <w:rFonts w:hAnsi="宋体" w:eastAsia="Times New Roman"/>
          <w:kern w:val="0"/>
          <w:sz w:val="30"/>
          <w:szCs w:val="30"/>
        </w:rPr>
      </w:pPr>
    </w:p>
    <w:p>
      <w:pPr>
        <w:spacing w:line="560" w:lineRule="exact"/>
        <w:ind w:firstLine="600" w:firstLineChars="200"/>
        <w:rPr>
          <w:rFonts w:hAnsi="宋体" w:eastAsia="Times New Roman"/>
          <w:kern w:val="0"/>
          <w:sz w:val="30"/>
          <w:szCs w:val="30"/>
        </w:rPr>
      </w:pPr>
    </w:p>
    <w:p>
      <w:pPr>
        <w:spacing w:line="560" w:lineRule="exact"/>
        <w:rPr>
          <w:rStyle w:val="21"/>
          <w:rFonts w:ascii="黑体" w:hAnsi="黑体" w:eastAsia="黑体"/>
          <w:b w:val="0"/>
          <w:bCs w:val="0"/>
          <w:spacing w:val="-4"/>
          <w:sz w:val="32"/>
          <w:szCs w:val="32"/>
        </w:rPr>
        <w:sectPr>
          <w:pgSz w:w="11906" w:h="16838"/>
          <w:pgMar w:top="1440" w:right="1800" w:bottom="1440" w:left="1800" w:header="851" w:footer="992" w:gutter="0"/>
          <w:cols w:space="425" w:num="1"/>
          <w:docGrid w:type="lines" w:linePitch="312" w:charSpace="0"/>
        </w:sectPr>
      </w:pPr>
    </w:p>
    <w:p>
      <w:pPr>
        <w:spacing w:line="560" w:lineRule="exact"/>
        <w:ind w:firstLine="624" w:firstLineChars="200"/>
        <w:rPr>
          <w:rStyle w:val="21"/>
          <w:rFonts w:ascii="黑体" w:hAnsi="黑体" w:eastAsia="黑体"/>
          <w:b w:val="0"/>
          <w:bCs w:val="0"/>
          <w:spacing w:val="-4"/>
          <w:sz w:val="32"/>
          <w:szCs w:val="32"/>
        </w:rPr>
      </w:pPr>
      <w:r>
        <w:rPr>
          <w:rStyle w:val="21"/>
          <w:rFonts w:hint="eastAsia" w:ascii="黑体" w:hAnsi="黑体" w:eastAsia="黑体" w:cs="黑体"/>
          <w:b w:val="0"/>
          <w:bCs w:val="0"/>
          <w:spacing w:val="-4"/>
          <w:sz w:val="32"/>
          <w:szCs w:val="32"/>
        </w:rPr>
        <w:t>一、项目概况</w:t>
      </w:r>
    </w:p>
    <w:p>
      <w:pPr>
        <w:spacing w:line="560" w:lineRule="exact"/>
        <w:ind w:firstLine="627" w:firstLineChars="200"/>
        <w:rPr>
          <w:rStyle w:val="21"/>
          <w:rFonts w:ascii="楷体" w:hAnsi="楷体" w:eastAsia="楷体"/>
          <w:spacing w:val="-4"/>
          <w:sz w:val="32"/>
          <w:szCs w:val="32"/>
        </w:rPr>
      </w:pPr>
      <w:r>
        <w:rPr>
          <w:rStyle w:val="21"/>
          <w:rFonts w:hint="eastAsia" w:ascii="楷体" w:hAnsi="楷体" w:eastAsia="楷体" w:cs="楷体"/>
          <w:spacing w:val="-4"/>
          <w:sz w:val="32"/>
          <w:szCs w:val="32"/>
        </w:rPr>
        <w:t>（一）项目单位基本情况</w:t>
      </w:r>
    </w:p>
    <w:p>
      <w:pPr>
        <w:pStyle w:val="52"/>
        <w:spacing w:line="560" w:lineRule="exact"/>
        <w:ind w:firstLine="624" w:firstLineChars="200"/>
        <w:rPr>
          <w:rFonts w:ascii="仿宋_GB2312" w:hAnsi="仿宋_GB2312" w:eastAsia="仿宋_GB2312" w:cs="仿宋_GB2312"/>
          <w:color w:val="000000"/>
          <w:spacing w:val="2"/>
          <w:sz w:val="30"/>
          <w:szCs w:val="30"/>
        </w:rPr>
      </w:pPr>
      <w:r>
        <w:rPr>
          <w:rStyle w:val="21"/>
          <w:rFonts w:hint="eastAsia" w:ascii="仿宋_GB2312" w:hAnsi="仿宋_GB2312" w:eastAsia="仿宋_GB2312" w:cs="仿宋_GB2312"/>
          <w:b w:val="0"/>
          <w:bCs w:val="0"/>
          <w:spacing w:val="-4"/>
          <w:sz w:val="32"/>
          <w:szCs w:val="32"/>
        </w:rPr>
        <w:t>喀什地区教育局办公室隶属喀什地区教育局，为行政科室，应有2名领导指数，现均空缺。主要工作范围：综合协调教育局日常党政事务，负责教育局会议的组织安排和会议议定事项的查办、督办工作；负责文秘、翻译、信访、保密和档案等工作。</w:t>
      </w:r>
    </w:p>
    <w:p>
      <w:pPr>
        <w:spacing w:line="560" w:lineRule="exact"/>
        <w:ind w:left="420" w:leftChars="200"/>
        <w:rPr>
          <w:rStyle w:val="21"/>
          <w:rFonts w:ascii="楷体" w:hAnsi="楷体" w:eastAsia="楷体" w:cs="楷体"/>
          <w:spacing w:val="-4"/>
          <w:sz w:val="32"/>
          <w:szCs w:val="32"/>
        </w:rPr>
      </w:pPr>
      <w:r>
        <w:rPr>
          <w:rStyle w:val="21"/>
          <w:rFonts w:hint="eastAsia" w:ascii="楷体" w:hAnsi="楷体" w:eastAsia="楷体" w:cs="楷体"/>
          <w:spacing w:val="-4"/>
          <w:sz w:val="32"/>
          <w:szCs w:val="32"/>
        </w:rPr>
        <w:t>（二）项目预算绩效目标设定情况</w:t>
      </w:r>
    </w:p>
    <w:p>
      <w:pPr>
        <w:spacing w:line="560" w:lineRule="exact"/>
        <w:ind w:left="420" w:leftChars="200"/>
        <w:rPr>
          <w:rStyle w:val="21"/>
          <w:rFonts w:ascii="楷体" w:hAnsi="楷体" w:eastAsia="楷体"/>
          <w:spacing w:val="-4"/>
          <w:sz w:val="32"/>
          <w:szCs w:val="32"/>
        </w:rPr>
      </w:pPr>
      <w:r>
        <w:rPr>
          <w:rStyle w:val="21"/>
          <w:rFonts w:ascii="楷体" w:hAnsi="楷体" w:eastAsia="楷体" w:cs="楷体"/>
          <w:spacing w:val="-4"/>
          <w:sz w:val="32"/>
          <w:szCs w:val="32"/>
        </w:rPr>
        <w:t>1</w:t>
      </w:r>
      <w:r>
        <w:rPr>
          <w:rStyle w:val="21"/>
          <w:rFonts w:hint="eastAsia" w:ascii="楷体" w:hAnsi="楷体" w:eastAsia="楷体" w:cs="楷体"/>
          <w:spacing w:val="-4"/>
          <w:sz w:val="32"/>
          <w:szCs w:val="32"/>
        </w:rPr>
        <w:t>、项目预期目标及阶段性目标</w:t>
      </w:r>
    </w:p>
    <w:p>
      <w:pPr>
        <w:spacing w:line="560" w:lineRule="exact"/>
        <w:ind w:firstLine="624" w:firstLineChars="200"/>
        <w:rPr>
          <w:rFonts w:ascii="仿宋" w:hAnsi="仿宋" w:eastAsia="仿宋"/>
          <w:sz w:val="32"/>
          <w:szCs w:val="32"/>
        </w:rPr>
      </w:pPr>
      <w:r>
        <w:rPr>
          <w:rStyle w:val="21"/>
          <w:rFonts w:hint="eastAsia" w:ascii="仿宋_GB2312" w:hAnsi="仿宋_GB2312" w:eastAsia="仿宋_GB2312" w:cs="仿宋_GB2312"/>
          <w:b w:val="0"/>
          <w:bCs w:val="0"/>
          <w:spacing w:val="-4"/>
          <w:kern w:val="0"/>
          <w:sz w:val="32"/>
          <w:szCs w:val="32"/>
        </w:rPr>
        <w:t>2016年南疆职业教育对口支援工作会议、南疆教育质量提升工作推进会经费项目由自治区教育厅根据会议会务情况，给我局拨付10万元专项会议资金，全部用于支付两次会议的会务工作、材料印制和办公费用。</w:t>
      </w:r>
    </w:p>
    <w:p>
      <w:pPr>
        <w:spacing w:line="560" w:lineRule="exact"/>
        <w:ind w:left="420" w:leftChars="200"/>
        <w:rPr>
          <w:rStyle w:val="21"/>
          <w:rFonts w:ascii="楷体" w:hAnsi="楷体" w:eastAsia="楷体" w:cs="楷体"/>
          <w:spacing w:val="-4"/>
          <w:sz w:val="32"/>
          <w:szCs w:val="32"/>
        </w:rPr>
      </w:pPr>
      <w:r>
        <w:rPr>
          <w:rStyle w:val="21"/>
          <w:rFonts w:ascii="楷体" w:hAnsi="楷体" w:eastAsia="楷体" w:cs="楷体"/>
          <w:spacing w:val="-4"/>
          <w:sz w:val="32"/>
          <w:szCs w:val="32"/>
        </w:rPr>
        <w:t>2</w:t>
      </w:r>
      <w:r>
        <w:rPr>
          <w:rStyle w:val="21"/>
          <w:rFonts w:hint="eastAsia" w:ascii="楷体" w:hAnsi="楷体" w:eastAsia="楷体" w:cs="楷体"/>
          <w:spacing w:val="-4"/>
          <w:sz w:val="32"/>
          <w:szCs w:val="32"/>
        </w:rPr>
        <w:t>、项目基本性质</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本项目性质为新增项目。</w:t>
      </w:r>
    </w:p>
    <w:p>
      <w:pPr>
        <w:spacing w:line="560" w:lineRule="exact"/>
        <w:ind w:left="420" w:leftChars="200"/>
        <w:rPr>
          <w:rStyle w:val="21"/>
          <w:rFonts w:ascii="楷体" w:hAnsi="楷体" w:eastAsia="楷体" w:cs="楷体"/>
          <w:spacing w:val="-4"/>
          <w:sz w:val="32"/>
          <w:szCs w:val="32"/>
        </w:rPr>
      </w:pPr>
      <w:r>
        <w:rPr>
          <w:rStyle w:val="21"/>
          <w:rFonts w:ascii="楷体" w:hAnsi="楷体" w:eastAsia="楷体" w:cs="楷体"/>
          <w:spacing w:val="-4"/>
          <w:sz w:val="32"/>
          <w:szCs w:val="32"/>
        </w:rPr>
        <w:t>3</w:t>
      </w:r>
      <w:r>
        <w:rPr>
          <w:rStyle w:val="21"/>
          <w:rFonts w:hint="eastAsia" w:ascii="楷体" w:hAnsi="楷体" w:eastAsia="楷体" w:cs="楷体"/>
          <w:spacing w:val="-4"/>
          <w:sz w:val="32"/>
          <w:szCs w:val="32"/>
        </w:rPr>
        <w:t>、项目用途及范围</w:t>
      </w:r>
    </w:p>
    <w:p>
      <w:pPr>
        <w:spacing w:line="560" w:lineRule="exact"/>
        <w:ind w:firstLine="624" w:firstLineChars="200"/>
        <w:rPr>
          <w:rFonts w:ascii="仿宋" w:hAnsi="仿宋" w:eastAsia="仿宋"/>
          <w:sz w:val="32"/>
          <w:szCs w:val="32"/>
        </w:rPr>
      </w:pPr>
      <w:r>
        <w:rPr>
          <w:rStyle w:val="21"/>
          <w:rFonts w:hint="eastAsia" w:ascii="仿宋_GB2312" w:hAnsi="仿宋_GB2312" w:eastAsia="仿宋_GB2312" w:cs="仿宋_GB2312"/>
          <w:b w:val="0"/>
          <w:bCs w:val="0"/>
          <w:spacing w:val="-4"/>
          <w:kern w:val="0"/>
          <w:sz w:val="32"/>
          <w:szCs w:val="32"/>
        </w:rPr>
        <w:t>此项目资金全部用于两次会议的会务工作、材料印制和办公费用。</w:t>
      </w:r>
    </w:p>
    <w:p>
      <w:pPr>
        <w:spacing w:line="560" w:lineRule="exact"/>
        <w:ind w:firstLine="624" w:firstLineChars="200"/>
        <w:rPr>
          <w:rStyle w:val="21"/>
          <w:rFonts w:ascii="黑体" w:hAnsi="黑体" w:eastAsia="黑体"/>
          <w:b w:val="0"/>
          <w:bCs w:val="0"/>
          <w:spacing w:val="-4"/>
          <w:sz w:val="32"/>
          <w:szCs w:val="32"/>
        </w:rPr>
      </w:pPr>
      <w:r>
        <w:rPr>
          <w:rStyle w:val="21"/>
          <w:rFonts w:hint="eastAsia" w:ascii="黑体" w:hAnsi="黑体" w:eastAsia="黑体" w:cs="黑体"/>
          <w:b w:val="0"/>
          <w:bCs w:val="0"/>
          <w:spacing w:val="-4"/>
          <w:sz w:val="32"/>
          <w:szCs w:val="32"/>
        </w:rPr>
        <w:t>二、项目资金使用及管理情况</w:t>
      </w:r>
    </w:p>
    <w:p>
      <w:pPr>
        <w:spacing w:line="560" w:lineRule="exact"/>
        <w:ind w:firstLine="627" w:firstLineChars="200"/>
        <w:rPr>
          <w:rStyle w:val="21"/>
          <w:rFonts w:ascii="楷体" w:hAnsi="楷体" w:eastAsia="楷体"/>
          <w:spacing w:val="-4"/>
          <w:sz w:val="32"/>
          <w:szCs w:val="32"/>
        </w:rPr>
      </w:pPr>
      <w:r>
        <w:rPr>
          <w:rStyle w:val="21"/>
          <w:rFonts w:hint="eastAsia" w:ascii="楷体" w:hAnsi="楷体" w:eastAsia="楷体" w:cs="楷体"/>
          <w:spacing w:val="-4"/>
          <w:sz w:val="32"/>
          <w:szCs w:val="32"/>
        </w:rPr>
        <w:t>（一）项目资金安排落实、总投入等情况分析</w:t>
      </w:r>
    </w:p>
    <w:p>
      <w:pPr>
        <w:spacing w:line="560" w:lineRule="exact"/>
        <w:ind w:firstLine="624" w:firstLineChars="200"/>
        <w:rPr>
          <w:rFonts w:ascii="仿宋" w:hAnsi="仿宋" w:eastAsia="仿宋"/>
          <w:sz w:val="32"/>
          <w:szCs w:val="32"/>
        </w:rPr>
      </w:pPr>
      <w:r>
        <w:rPr>
          <w:rStyle w:val="21"/>
          <w:rFonts w:hint="eastAsia" w:ascii="仿宋_GB2312" w:hAnsi="仿宋_GB2312" w:eastAsia="仿宋_GB2312" w:cs="仿宋_GB2312"/>
          <w:b w:val="0"/>
          <w:bCs w:val="0"/>
          <w:spacing w:val="-4"/>
          <w:kern w:val="0"/>
          <w:sz w:val="32"/>
          <w:szCs w:val="32"/>
        </w:rPr>
        <w:t>两项会议会务工作、材料印制等资金为10万元，会议的主要任务是完善教育援疆工作机制，切实解决中职学校专业教师不足、专业设置不合理、实训基地不足等问题，加强南疆中职学校软件建设、补齐硬件设施，推进南疆中等职业教育发展，深刻认识南疆教育的发展和提高必须紧密切合形势新常态，奠定南疆社会</w:t>
      </w:r>
      <w:r>
        <w:rPr>
          <w:rStyle w:val="21"/>
          <w:rFonts w:hint="eastAsia" w:ascii="仿宋_GB2312" w:hAnsi="仿宋_GB2312" w:eastAsia="仿宋_GB2312" w:cs="仿宋_GB2312"/>
          <w:b w:val="0"/>
          <w:bCs w:val="0"/>
          <w:spacing w:val="-4"/>
          <w:kern w:val="0"/>
          <w:sz w:val="32"/>
          <w:szCs w:val="32"/>
          <w:lang w:eastAsia="zh-CN"/>
        </w:rPr>
        <w:t>的</w:t>
      </w:r>
      <w:r>
        <w:rPr>
          <w:rStyle w:val="21"/>
          <w:rFonts w:hint="eastAsia" w:ascii="仿宋_GB2312" w:hAnsi="仿宋_GB2312" w:eastAsia="仿宋_GB2312" w:cs="仿宋_GB2312"/>
          <w:b w:val="0"/>
          <w:bCs w:val="0"/>
          <w:spacing w:val="-4"/>
          <w:kern w:val="0"/>
          <w:sz w:val="32"/>
          <w:szCs w:val="32"/>
        </w:rPr>
        <w:t>长治久安的基础。</w:t>
      </w:r>
    </w:p>
    <w:p>
      <w:pPr>
        <w:spacing w:line="560" w:lineRule="exact"/>
        <w:ind w:firstLine="627" w:firstLineChars="200"/>
        <w:rPr>
          <w:rStyle w:val="21"/>
          <w:rFonts w:ascii="楷体" w:hAnsi="楷体" w:eastAsia="楷体"/>
          <w:spacing w:val="-4"/>
          <w:sz w:val="32"/>
          <w:szCs w:val="32"/>
        </w:rPr>
      </w:pPr>
      <w:r>
        <w:rPr>
          <w:rStyle w:val="21"/>
          <w:rFonts w:hint="eastAsia" w:ascii="楷体" w:hAnsi="楷体" w:eastAsia="楷体" w:cs="楷体"/>
          <w:spacing w:val="-4"/>
          <w:sz w:val="32"/>
          <w:szCs w:val="32"/>
        </w:rPr>
        <w:t>（二）项目资金实</w:t>
      </w:r>
      <w:bookmarkStart w:id="0" w:name="_GoBack"/>
      <w:bookmarkEnd w:id="0"/>
      <w:r>
        <w:rPr>
          <w:rStyle w:val="21"/>
          <w:rFonts w:hint="eastAsia" w:ascii="楷体" w:hAnsi="楷体" w:eastAsia="楷体" w:cs="楷体"/>
          <w:spacing w:val="-4"/>
          <w:sz w:val="32"/>
          <w:szCs w:val="32"/>
        </w:rPr>
        <w:t>际使用情况分析</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本资金为两次会议的会务工作、材料印制和办公费用，均已使用完毕。通过会议的召开，建立了援疆省市职业学校和南疆中等职业学校结对子团队式帮扶关系，推进南疆中等职业教育发展，突出当前南疆提升教育质量工作重点和关键环节，谋划和落实南疆提升教育质量工作任务。</w:t>
      </w:r>
    </w:p>
    <w:p>
      <w:pPr>
        <w:spacing w:line="560" w:lineRule="exact"/>
        <w:ind w:firstLine="627" w:firstLineChars="200"/>
        <w:rPr>
          <w:rStyle w:val="21"/>
          <w:rFonts w:ascii="楷体" w:hAnsi="楷体" w:eastAsia="楷体"/>
          <w:spacing w:val="-4"/>
          <w:sz w:val="32"/>
          <w:szCs w:val="32"/>
        </w:rPr>
      </w:pPr>
      <w:r>
        <w:rPr>
          <w:rStyle w:val="21"/>
          <w:rFonts w:hint="eastAsia" w:ascii="楷体" w:hAnsi="楷体" w:eastAsia="楷体" w:cs="楷体"/>
          <w:spacing w:val="-4"/>
          <w:sz w:val="32"/>
          <w:szCs w:val="32"/>
        </w:rPr>
        <w:t>（三）项目资金管理情况分析</w:t>
      </w:r>
    </w:p>
    <w:p>
      <w:pPr>
        <w:spacing w:line="560" w:lineRule="exact"/>
        <w:ind w:firstLine="624" w:firstLineChars="200"/>
        <w:rPr>
          <w:rStyle w:val="21"/>
          <w:rFonts w:ascii="仿宋" w:hAnsi="仿宋" w:eastAsia="仿宋"/>
          <w:b w:val="0"/>
          <w:bCs w:val="0"/>
          <w:spacing w:val="-4"/>
          <w:sz w:val="32"/>
          <w:szCs w:val="32"/>
        </w:rPr>
      </w:pPr>
      <w:r>
        <w:rPr>
          <w:rStyle w:val="21"/>
          <w:rFonts w:hint="eastAsia" w:ascii="仿宋_GB2312" w:hAnsi="仿宋_GB2312" w:eastAsia="仿宋_GB2312" w:cs="仿宋_GB2312"/>
          <w:b w:val="0"/>
          <w:bCs w:val="0"/>
          <w:spacing w:val="-4"/>
          <w:kern w:val="0"/>
          <w:sz w:val="32"/>
          <w:szCs w:val="32"/>
        </w:rPr>
        <w:t>项目的实际支出符合财经管理制度，资金使用合理；各种账务处理及时，会计核算规范。</w:t>
      </w:r>
    </w:p>
    <w:p>
      <w:pPr>
        <w:numPr>
          <w:ilvl w:val="0"/>
          <w:numId w:val="1"/>
        </w:numPr>
        <w:spacing w:line="560" w:lineRule="exact"/>
        <w:ind w:firstLine="624" w:firstLineChars="200"/>
        <w:rPr>
          <w:rStyle w:val="21"/>
          <w:rFonts w:ascii="黑体" w:hAnsi="黑体" w:eastAsia="黑体"/>
          <w:b w:val="0"/>
          <w:bCs w:val="0"/>
          <w:spacing w:val="-4"/>
          <w:sz w:val="32"/>
          <w:szCs w:val="32"/>
        </w:rPr>
      </w:pPr>
      <w:r>
        <w:rPr>
          <w:rStyle w:val="21"/>
          <w:rFonts w:hint="eastAsia" w:ascii="黑体" w:hAnsi="黑体" w:eastAsia="黑体" w:cs="黑体"/>
          <w:b w:val="0"/>
          <w:bCs w:val="0"/>
          <w:spacing w:val="-4"/>
          <w:sz w:val="32"/>
          <w:szCs w:val="32"/>
        </w:rPr>
        <w:t>项目组织实施情况</w:t>
      </w:r>
    </w:p>
    <w:p>
      <w:pPr>
        <w:numPr>
          <w:ilvl w:val="0"/>
          <w:numId w:val="2"/>
        </w:numPr>
        <w:spacing w:line="560" w:lineRule="exact"/>
        <w:ind w:firstLine="627" w:firstLineChars="200"/>
        <w:rPr>
          <w:rStyle w:val="21"/>
          <w:rFonts w:ascii="仿宋" w:hAnsi="仿宋" w:eastAsia="仿宋"/>
          <w:spacing w:val="-4"/>
          <w:sz w:val="32"/>
          <w:szCs w:val="32"/>
        </w:rPr>
      </w:pPr>
      <w:r>
        <w:rPr>
          <w:rStyle w:val="21"/>
          <w:rFonts w:hint="eastAsia" w:ascii="仿宋" w:hAnsi="仿宋" w:eastAsia="仿宋" w:cs="仿宋"/>
          <w:spacing w:val="-4"/>
          <w:sz w:val="32"/>
          <w:szCs w:val="32"/>
        </w:rPr>
        <w:t>项目组织情况分析</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2016年南疆职业教育对口支援工作会议、南疆教育质量提升工作推进会项目由地区教育局办公室根据会务工作情况，进行资金分配和使用。项目管理情况分析。</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该项目资金由自治区教育厅拨付，由地区教育局使用。</w:t>
      </w:r>
    </w:p>
    <w:p>
      <w:pPr>
        <w:spacing w:line="560" w:lineRule="exact"/>
        <w:ind w:firstLine="624" w:firstLineChars="200"/>
        <w:rPr>
          <w:rStyle w:val="21"/>
          <w:rFonts w:ascii="黑体" w:hAnsi="黑体" w:eastAsia="黑体" w:cs="黑体"/>
        </w:rPr>
      </w:pPr>
      <w:r>
        <w:rPr>
          <w:rStyle w:val="21"/>
          <w:rFonts w:hint="eastAsia" w:ascii="黑体" w:hAnsi="黑体" w:eastAsia="黑体" w:cs="黑体"/>
          <w:b w:val="0"/>
          <w:bCs w:val="0"/>
          <w:spacing w:val="-4"/>
          <w:sz w:val="32"/>
          <w:szCs w:val="32"/>
        </w:rPr>
        <w:t>四、项目绩效情况</w:t>
      </w:r>
      <w:r>
        <w:rPr>
          <w:rStyle w:val="21"/>
          <w:rFonts w:ascii="黑体" w:hAnsi="黑体" w:eastAsia="黑体" w:cs="黑体"/>
        </w:rPr>
        <w:t xml:space="preserve"> </w:t>
      </w:r>
    </w:p>
    <w:p>
      <w:pPr>
        <w:spacing w:line="560" w:lineRule="exact"/>
        <w:ind w:firstLine="422" w:firstLineChars="200"/>
        <w:rPr>
          <w:rFonts w:ascii="楷体" w:hAnsi="楷体" w:eastAsia="楷体"/>
          <w:b/>
          <w:bCs/>
          <w:spacing w:val="-4"/>
          <w:sz w:val="32"/>
          <w:szCs w:val="32"/>
        </w:rPr>
      </w:pPr>
      <w:r>
        <w:rPr>
          <w:rStyle w:val="21"/>
          <w:rFonts w:ascii="黑体" w:hAnsi="黑体" w:eastAsia="黑体" w:cs="黑体"/>
        </w:rPr>
        <w:t xml:space="preserve">    </w:t>
      </w:r>
      <w:r>
        <w:rPr>
          <w:rFonts w:ascii="楷体" w:hAnsi="楷体" w:eastAsia="楷体" w:cs="楷体"/>
          <w:b/>
          <w:bCs/>
          <w:spacing w:val="-4"/>
          <w:sz w:val="32"/>
          <w:szCs w:val="32"/>
        </w:rPr>
        <w:t xml:space="preserve"> </w:t>
      </w:r>
      <w:r>
        <w:rPr>
          <w:rFonts w:hint="eastAsia" w:ascii="楷体" w:hAnsi="楷体" w:eastAsia="楷体" w:cs="楷体"/>
          <w:b/>
          <w:bCs/>
          <w:spacing w:val="-4"/>
          <w:sz w:val="32"/>
          <w:szCs w:val="32"/>
        </w:rPr>
        <w:t>（一）项目绩效目标完成情况分析</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本项目共设置一级指标3个，二级指标9个，三级指标7个，其中完成指标7个，指标完成率100%。</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效率性：项目资金用于会议的会务工作、材料印制和办公费用，及时率为100%。</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效益性：通过使用10万元项目资金，建立援疆省市职业学校和南疆中等职业学校结对子团队式帮扶关系，推进南疆双语教育实现更高质量的普及，推进南疆教育质量的提升。</w:t>
      </w:r>
    </w:p>
    <w:p>
      <w:pPr>
        <w:spacing w:line="560" w:lineRule="exact"/>
        <w:ind w:firstLine="624" w:firstLineChars="200"/>
        <w:rPr>
          <w:rFonts w:ascii="??_GB2312" w:eastAsia="Times New Roman"/>
          <w:b/>
          <w:bCs/>
          <w:spacing w:val="-4"/>
          <w:sz w:val="32"/>
          <w:szCs w:val="32"/>
        </w:rPr>
      </w:pPr>
      <w:r>
        <w:rPr>
          <w:rFonts w:ascii="??_GB2312" w:eastAsia="Times New Roman"/>
          <w:b/>
          <w:bCs/>
          <w:spacing w:val="-4"/>
          <w:sz w:val="32"/>
          <w:szCs w:val="32"/>
        </w:rPr>
        <w:t>（二）项目绩效目标未完成原因分析</w:t>
      </w:r>
    </w:p>
    <w:p>
      <w:pPr>
        <w:spacing w:line="560" w:lineRule="exact"/>
        <w:ind w:firstLine="624" w:firstLineChars="200"/>
        <w:rPr>
          <w:rFonts w:ascii="??_GB2312" w:eastAsia="Times New Roman"/>
          <w:spacing w:val="-4"/>
          <w:sz w:val="32"/>
          <w:szCs w:val="32"/>
        </w:rPr>
      </w:pPr>
      <w:r>
        <w:rPr>
          <w:rStyle w:val="21"/>
          <w:rFonts w:hint="eastAsia" w:ascii="仿宋_GB2312" w:hAnsi="仿宋_GB2312" w:eastAsia="仿宋_GB2312" w:cs="仿宋_GB2312"/>
          <w:b w:val="0"/>
          <w:bCs w:val="0"/>
          <w:spacing w:val="-4"/>
          <w:kern w:val="0"/>
          <w:sz w:val="32"/>
          <w:szCs w:val="32"/>
        </w:rPr>
        <w:t>本项目绩效目标全部达成，不存在未完成原因分析</w:t>
      </w:r>
      <w:r>
        <w:rPr>
          <w:rFonts w:ascii="??_GB2312" w:eastAsia="Times New Roman"/>
          <w:spacing w:val="-4"/>
          <w:sz w:val="32"/>
          <w:szCs w:val="32"/>
        </w:rPr>
        <w:t>。</w:t>
      </w:r>
    </w:p>
    <w:p>
      <w:pPr>
        <w:spacing w:line="560" w:lineRule="exact"/>
        <w:ind w:firstLine="480" w:firstLineChars="200"/>
        <w:rPr>
          <w:rStyle w:val="21"/>
          <w:rFonts w:ascii="黑体" w:hAnsi="黑体" w:eastAsia="黑体"/>
          <w:b w:val="0"/>
          <w:bCs w:val="0"/>
          <w:spacing w:val="-4"/>
          <w:sz w:val="32"/>
          <w:szCs w:val="32"/>
        </w:rPr>
      </w:pPr>
      <w:r>
        <w:rPr>
          <w:rFonts w:ascii="宋体" w:hAnsi="宋体" w:cs="宋体"/>
          <w:color w:val="3D3D3D"/>
          <w:sz w:val="24"/>
          <w:szCs w:val="24"/>
        </w:rPr>
        <w:t xml:space="preserve">  </w:t>
      </w:r>
      <w:r>
        <w:rPr>
          <w:rStyle w:val="21"/>
          <w:rFonts w:hint="eastAsia" w:ascii="黑体" w:hAnsi="黑体" w:eastAsia="黑体" w:cs="黑体"/>
          <w:b w:val="0"/>
          <w:bCs w:val="0"/>
          <w:spacing w:val="-4"/>
          <w:sz w:val="32"/>
          <w:szCs w:val="32"/>
        </w:rPr>
        <w:t>五、其他需要说明的问题</w:t>
      </w:r>
    </w:p>
    <w:p>
      <w:pPr>
        <w:spacing w:line="560" w:lineRule="exact"/>
        <w:ind w:firstLine="627" w:firstLineChars="200"/>
        <w:rPr>
          <w:rFonts w:ascii="楷体" w:hAnsi="楷体" w:eastAsia="楷体"/>
          <w:b/>
          <w:bCs/>
          <w:spacing w:val="-4"/>
          <w:sz w:val="32"/>
          <w:szCs w:val="32"/>
        </w:rPr>
      </w:pPr>
      <w:r>
        <w:rPr>
          <w:rFonts w:hint="eastAsia" w:ascii="楷体" w:hAnsi="楷体" w:eastAsia="楷体" w:cs="楷体"/>
          <w:b/>
          <w:bCs/>
          <w:spacing w:val="-4"/>
          <w:sz w:val="32"/>
          <w:szCs w:val="32"/>
        </w:rPr>
        <w:t>（一）后续工作计划</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严格按照项目资金用途，认真做好资金预算。努力探索改进创新工作方法，提高工作效率。</w:t>
      </w:r>
    </w:p>
    <w:p>
      <w:pPr>
        <w:spacing w:line="560" w:lineRule="exact"/>
        <w:ind w:firstLine="627" w:firstLineChars="200"/>
        <w:rPr>
          <w:rFonts w:ascii="楷体" w:hAnsi="楷体" w:eastAsia="楷体"/>
          <w:b/>
          <w:bCs/>
          <w:spacing w:val="-4"/>
          <w:sz w:val="32"/>
          <w:szCs w:val="32"/>
        </w:rPr>
      </w:pPr>
      <w:r>
        <w:rPr>
          <w:rFonts w:hint="eastAsia" w:ascii="楷体" w:hAnsi="楷体" w:eastAsia="楷体" w:cs="楷体"/>
          <w:b/>
          <w:bCs/>
          <w:spacing w:val="-4"/>
          <w:sz w:val="32"/>
          <w:szCs w:val="32"/>
        </w:rPr>
        <w:t>（二）主要经验及做法、存在问题和建议</w:t>
      </w:r>
    </w:p>
    <w:p>
      <w:pPr>
        <w:widowControl/>
        <w:shd w:val="clear" w:color="auto" w:fill="FFFFFF"/>
        <w:spacing w:line="560" w:lineRule="exact"/>
        <w:ind w:firstLine="627" w:firstLineChars="200"/>
        <w:jc w:val="left"/>
        <w:rPr>
          <w:rFonts w:ascii="??_GB2312" w:eastAsia="Times New Roman"/>
          <w:b/>
          <w:bCs/>
          <w:spacing w:val="-4"/>
          <w:sz w:val="32"/>
          <w:szCs w:val="32"/>
        </w:rPr>
      </w:pPr>
      <w:r>
        <w:rPr>
          <w:rFonts w:hint="eastAsia" w:ascii="楷体_GB2312" w:hAnsi="楷体_GB2312" w:eastAsia="楷体_GB2312" w:cs="楷体_GB2312"/>
          <w:b/>
          <w:bCs/>
          <w:spacing w:val="-4"/>
          <w:sz w:val="32"/>
          <w:szCs w:val="32"/>
        </w:rPr>
        <w:t>1、主要经验与做法</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认真做好会议会务统筹安排等工作，提高会议效率，促进教育质量的提升。</w:t>
      </w:r>
    </w:p>
    <w:p>
      <w:pPr>
        <w:widowControl/>
        <w:shd w:val="clear" w:color="auto" w:fill="FFFFFF"/>
        <w:spacing w:line="560" w:lineRule="exact"/>
        <w:ind w:firstLine="627" w:firstLineChars="200"/>
        <w:jc w:val="left"/>
        <w:rPr>
          <w:rFonts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2、存在问题</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无</w:t>
      </w:r>
    </w:p>
    <w:p>
      <w:pPr>
        <w:widowControl/>
        <w:shd w:val="clear" w:color="auto" w:fill="FFFFFF"/>
        <w:spacing w:line="560" w:lineRule="exact"/>
        <w:ind w:firstLine="627" w:firstLineChars="200"/>
        <w:jc w:val="left"/>
        <w:rPr>
          <w:rStyle w:val="21"/>
          <w:rFonts w:ascii="仿宋" w:hAnsi="仿宋" w:eastAsia="仿宋"/>
          <w:spacing w:val="-4"/>
          <w:sz w:val="32"/>
          <w:szCs w:val="32"/>
        </w:rPr>
      </w:pPr>
      <w:r>
        <w:rPr>
          <w:rFonts w:hint="eastAsia" w:ascii="楷体_GB2312" w:hAnsi="楷体_GB2312" w:eastAsia="楷体_GB2312" w:cs="楷体_GB2312"/>
          <w:b/>
          <w:bCs/>
          <w:spacing w:val="-4"/>
          <w:sz w:val="32"/>
          <w:szCs w:val="32"/>
        </w:rPr>
        <w:t>3、建议</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无</w:t>
      </w:r>
    </w:p>
    <w:p>
      <w:pPr>
        <w:spacing w:line="560" w:lineRule="exact"/>
        <w:ind w:firstLine="624" w:firstLineChars="200"/>
        <w:rPr>
          <w:rStyle w:val="21"/>
          <w:rFonts w:ascii="黑体" w:hAnsi="黑体" w:eastAsia="黑体"/>
          <w:b w:val="0"/>
          <w:bCs w:val="0"/>
          <w:spacing w:val="-4"/>
          <w:sz w:val="32"/>
          <w:szCs w:val="32"/>
        </w:rPr>
      </w:pPr>
      <w:r>
        <w:rPr>
          <w:rStyle w:val="21"/>
          <w:rFonts w:hint="eastAsia" w:ascii="黑体" w:hAnsi="黑体" w:eastAsia="黑体" w:cs="黑体"/>
          <w:b w:val="0"/>
          <w:bCs w:val="0"/>
          <w:spacing w:val="-4"/>
          <w:sz w:val="32"/>
          <w:szCs w:val="32"/>
        </w:rPr>
        <w:t>六、项目评价工作情况</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通过开展自我评价，总结经验做法及存在的问题，为今后</w:t>
      </w:r>
      <w:r>
        <w:rPr>
          <w:rFonts w:hint="eastAsia" w:ascii="仿宋_GB2312" w:hAnsi="仿宋_GB2312" w:eastAsia="仿宋_GB2312" w:cs="仿宋_GB2312"/>
          <w:kern w:val="0"/>
          <w:sz w:val="32"/>
          <w:szCs w:val="32"/>
        </w:rPr>
        <w:t>促进教育事业发展经费</w:t>
      </w:r>
      <w:r>
        <w:rPr>
          <w:rStyle w:val="21"/>
          <w:rFonts w:hint="eastAsia" w:ascii="仿宋_GB2312" w:hAnsi="仿宋_GB2312" w:eastAsia="仿宋_GB2312" w:cs="仿宋_GB2312"/>
          <w:b w:val="0"/>
          <w:bCs w:val="0"/>
          <w:spacing w:val="-4"/>
          <w:sz w:val="32"/>
          <w:szCs w:val="32"/>
        </w:rPr>
        <w:t>的实施提供参考建议。</w:t>
      </w:r>
    </w:p>
    <w:p>
      <w:pPr>
        <w:spacing w:line="560" w:lineRule="exact"/>
        <w:ind w:firstLine="624" w:firstLineChars="200"/>
        <w:rPr>
          <w:rStyle w:val="21"/>
          <w:rFonts w:ascii="黑体" w:hAnsi="黑体" w:eastAsia="黑体"/>
          <w:b w:val="0"/>
          <w:bCs w:val="0"/>
          <w:spacing w:val="-4"/>
          <w:sz w:val="32"/>
          <w:szCs w:val="32"/>
        </w:rPr>
      </w:pPr>
      <w:r>
        <w:rPr>
          <w:rStyle w:val="21"/>
          <w:rFonts w:hint="eastAsia" w:ascii="黑体" w:hAnsi="黑体" w:eastAsia="黑体" w:cs="黑体"/>
          <w:b w:val="0"/>
          <w:bCs w:val="0"/>
          <w:spacing w:val="-4"/>
          <w:sz w:val="32"/>
          <w:szCs w:val="32"/>
        </w:rPr>
        <w:t>七、附表</w:t>
      </w:r>
    </w:p>
    <w:p>
      <w:pPr>
        <w:pStyle w:val="52"/>
        <w:spacing w:line="560" w:lineRule="exact"/>
        <w:ind w:firstLine="624" w:firstLineChars="200"/>
        <w:rPr>
          <w:rStyle w:val="21"/>
          <w:rFonts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《项目支出绩效目标自评表》</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cs="Times New Roma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3"/>
                            <w:rPr>
                              <w:rFonts w:cs="Times New Roman"/>
                            </w:rPr>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i&#10;B7s4twEAAFQDAAAOAAAAAAAAAAEAIAAAAB4BAABkcnMvZTJvRG9jLnhtbFBLBQYAAAAABgAGAFkB&#10;AABHBQAAAAA=&#10;">
              <v:fill on="f" focussize="0,0"/>
              <v:stroke on="f"/>
              <v:imagedata o:title=""/>
              <o:lock v:ext="edit" aspectratio="f"/>
              <v:textbox inset="0mm,0mm,0mm,0mm" style="mso-fit-shape-to-text:t;">
                <w:txbxContent>
                  <w:p>
                    <w:pPr>
                      <w:pStyle w:val="13"/>
                      <w:rPr>
                        <w:rFonts w:cs="Times New Roman"/>
                      </w:rPr>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635DF3"/>
    <w:multiLevelType w:val="singleLevel"/>
    <w:tmpl w:val="C9635DF3"/>
    <w:lvl w:ilvl="0" w:tentative="0">
      <w:start w:val="1"/>
      <w:numFmt w:val="chineseCounting"/>
      <w:lvlText w:val="(%1)"/>
      <w:lvlJc w:val="left"/>
      <w:pPr>
        <w:tabs>
          <w:tab w:val="left" w:pos="312"/>
        </w:tabs>
      </w:pPr>
      <w:rPr>
        <w:rFonts w:hint="eastAsia"/>
      </w:rPr>
    </w:lvl>
  </w:abstractNum>
  <w:abstractNum w:abstractNumId="1">
    <w:nsid w:val="D554AE30"/>
    <w:multiLevelType w:val="singleLevel"/>
    <w:tmpl w:val="D554AE30"/>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457D"/>
    <w:rsid w:val="001F3B00"/>
    <w:rsid w:val="00316ACA"/>
    <w:rsid w:val="003E7222"/>
    <w:rsid w:val="005162F1"/>
    <w:rsid w:val="00535153"/>
    <w:rsid w:val="00535AB9"/>
    <w:rsid w:val="0055769C"/>
    <w:rsid w:val="005E7203"/>
    <w:rsid w:val="00604A25"/>
    <w:rsid w:val="00645AFF"/>
    <w:rsid w:val="00855E3A"/>
    <w:rsid w:val="0091588F"/>
    <w:rsid w:val="00922CB9"/>
    <w:rsid w:val="0092640A"/>
    <w:rsid w:val="00961CB9"/>
    <w:rsid w:val="009C0C77"/>
    <w:rsid w:val="009E0116"/>
    <w:rsid w:val="00A26421"/>
    <w:rsid w:val="00A4293B"/>
    <w:rsid w:val="00A42C21"/>
    <w:rsid w:val="00B205D7"/>
    <w:rsid w:val="00B41F61"/>
    <w:rsid w:val="00B660EF"/>
    <w:rsid w:val="00C471F2"/>
    <w:rsid w:val="00C56C72"/>
    <w:rsid w:val="00CA6457"/>
    <w:rsid w:val="00D17F2E"/>
    <w:rsid w:val="00D90BB6"/>
    <w:rsid w:val="00DE0552"/>
    <w:rsid w:val="00E432ED"/>
    <w:rsid w:val="00E769FE"/>
    <w:rsid w:val="00EA2CBE"/>
    <w:rsid w:val="00F32FEE"/>
    <w:rsid w:val="00F734EE"/>
    <w:rsid w:val="02A55944"/>
    <w:rsid w:val="04B532D8"/>
    <w:rsid w:val="07C858CA"/>
    <w:rsid w:val="09763FAD"/>
    <w:rsid w:val="0A7A2B11"/>
    <w:rsid w:val="0B2637E7"/>
    <w:rsid w:val="0C3801AF"/>
    <w:rsid w:val="0C44502F"/>
    <w:rsid w:val="0DF764C0"/>
    <w:rsid w:val="0FF836B3"/>
    <w:rsid w:val="11A23A51"/>
    <w:rsid w:val="11B90C20"/>
    <w:rsid w:val="130A6E4F"/>
    <w:rsid w:val="14D442A9"/>
    <w:rsid w:val="15116F6A"/>
    <w:rsid w:val="17B865EC"/>
    <w:rsid w:val="1C510780"/>
    <w:rsid w:val="1D7E7AF3"/>
    <w:rsid w:val="20574F0C"/>
    <w:rsid w:val="23587BDD"/>
    <w:rsid w:val="250208C2"/>
    <w:rsid w:val="25262701"/>
    <w:rsid w:val="25696928"/>
    <w:rsid w:val="32BD7ECD"/>
    <w:rsid w:val="32C92FE3"/>
    <w:rsid w:val="32E53453"/>
    <w:rsid w:val="38B91ABA"/>
    <w:rsid w:val="39437855"/>
    <w:rsid w:val="3C215CAB"/>
    <w:rsid w:val="40000C23"/>
    <w:rsid w:val="40DB423E"/>
    <w:rsid w:val="40DE2926"/>
    <w:rsid w:val="45EF3E77"/>
    <w:rsid w:val="46195A7B"/>
    <w:rsid w:val="46606E49"/>
    <w:rsid w:val="4BBF7B6F"/>
    <w:rsid w:val="4D936539"/>
    <w:rsid w:val="4F187848"/>
    <w:rsid w:val="50975652"/>
    <w:rsid w:val="50CC299D"/>
    <w:rsid w:val="511B53EA"/>
    <w:rsid w:val="52C7064E"/>
    <w:rsid w:val="54A47DCE"/>
    <w:rsid w:val="55351136"/>
    <w:rsid w:val="55457BFF"/>
    <w:rsid w:val="570D5D4A"/>
    <w:rsid w:val="57733620"/>
    <w:rsid w:val="59156BFB"/>
    <w:rsid w:val="59473884"/>
    <w:rsid w:val="5A0302EC"/>
    <w:rsid w:val="5A0E1676"/>
    <w:rsid w:val="5A36319D"/>
    <w:rsid w:val="5A5E5E64"/>
    <w:rsid w:val="5AC82CEA"/>
    <w:rsid w:val="60F14BB2"/>
    <w:rsid w:val="62D60BAD"/>
    <w:rsid w:val="63BC7740"/>
    <w:rsid w:val="66050BD0"/>
    <w:rsid w:val="6700014C"/>
    <w:rsid w:val="670E1C8B"/>
    <w:rsid w:val="671D3B75"/>
    <w:rsid w:val="682D7FA0"/>
    <w:rsid w:val="6A7F1CCE"/>
    <w:rsid w:val="6DC059F3"/>
    <w:rsid w:val="6E084284"/>
    <w:rsid w:val="798C10B7"/>
    <w:rsid w:val="7ECD20BC"/>
    <w:rsid w:val="7FF318D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name="Hyperlink"/>
    <w:lsdException w:qFormat="1" w:unhideWhenUsed="0" w:uiPriority="99" w:name="FollowedHyperlink"/>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iPriority="99" w:name="Balloon Text" w:locked="1"/>
    <w:lsdException w:unhideWhenUsed="0" w:uiPriority="0"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6"/>
    <w:qFormat/>
    <w:uiPriority w:val="99"/>
    <w:pPr>
      <w:keepNext/>
      <w:widowControl/>
      <w:spacing w:before="240" w:after="60"/>
      <w:jc w:val="left"/>
      <w:outlineLvl w:val="0"/>
    </w:pPr>
    <w:rPr>
      <w:rFonts w:ascii="Cambria" w:hAnsi="Cambria" w:cs="Cambria"/>
      <w:b/>
      <w:bCs/>
      <w:kern w:val="32"/>
      <w:sz w:val="32"/>
      <w:szCs w:val="32"/>
    </w:rPr>
  </w:style>
  <w:style w:type="paragraph" w:styleId="3">
    <w:name w:val="heading 2"/>
    <w:basedOn w:val="1"/>
    <w:next w:val="1"/>
    <w:link w:val="27"/>
    <w:qFormat/>
    <w:uiPriority w:val="99"/>
    <w:pPr>
      <w:keepNext/>
      <w:widowControl/>
      <w:spacing w:before="240" w:after="60"/>
      <w:jc w:val="left"/>
      <w:outlineLvl w:val="1"/>
    </w:pPr>
    <w:rPr>
      <w:rFonts w:ascii="Cambria" w:hAnsi="Cambria" w:cs="Cambria"/>
      <w:b/>
      <w:bCs/>
      <w:i/>
      <w:iCs/>
      <w:kern w:val="0"/>
      <w:sz w:val="28"/>
      <w:szCs w:val="28"/>
    </w:rPr>
  </w:style>
  <w:style w:type="paragraph" w:styleId="4">
    <w:name w:val="heading 3"/>
    <w:basedOn w:val="1"/>
    <w:next w:val="1"/>
    <w:link w:val="28"/>
    <w:qFormat/>
    <w:uiPriority w:val="99"/>
    <w:pPr>
      <w:keepNext/>
      <w:widowControl/>
      <w:spacing w:before="240" w:after="60"/>
      <w:jc w:val="left"/>
      <w:outlineLvl w:val="2"/>
    </w:pPr>
    <w:rPr>
      <w:rFonts w:ascii="Cambria" w:hAnsi="Cambria" w:cs="Cambria"/>
      <w:b/>
      <w:bCs/>
      <w:kern w:val="0"/>
      <w:sz w:val="26"/>
      <w:szCs w:val="26"/>
    </w:rPr>
  </w:style>
  <w:style w:type="paragraph" w:styleId="5">
    <w:name w:val="heading 4"/>
    <w:basedOn w:val="1"/>
    <w:next w:val="1"/>
    <w:link w:val="29"/>
    <w:qFormat/>
    <w:uiPriority w:val="99"/>
    <w:pPr>
      <w:keepNext/>
      <w:widowControl/>
      <w:spacing w:before="240" w:after="60"/>
      <w:jc w:val="left"/>
      <w:outlineLvl w:val="3"/>
    </w:pPr>
    <w:rPr>
      <w:rFonts w:ascii="Calibri" w:hAnsi="Calibri" w:cs="Calibri"/>
      <w:b/>
      <w:bCs/>
      <w:kern w:val="0"/>
      <w:sz w:val="28"/>
      <w:szCs w:val="28"/>
    </w:rPr>
  </w:style>
  <w:style w:type="paragraph" w:styleId="6">
    <w:name w:val="heading 5"/>
    <w:basedOn w:val="1"/>
    <w:next w:val="1"/>
    <w:link w:val="30"/>
    <w:qFormat/>
    <w:uiPriority w:val="99"/>
    <w:pPr>
      <w:widowControl/>
      <w:spacing w:before="240" w:after="60"/>
      <w:jc w:val="left"/>
      <w:outlineLvl w:val="4"/>
    </w:pPr>
    <w:rPr>
      <w:rFonts w:ascii="Calibri" w:hAnsi="Calibri" w:cs="Calibri"/>
      <w:b/>
      <w:bCs/>
      <w:i/>
      <w:iCs/>
      <w:kern w:val="0"/>
      <w:sz w:val="26"/>
      <w:szCs w:val="26"/>
    </w:rPr>
  </w:style>
  <w:style w:type="paragraph" w:styleId="7">
    <w:name w:val="heading 6"/>
    <w:basedOn w:val="1"/>
    <w:next w:val="1"/>
    <w:link w:val="31"/>
    <w:qFormat/>
    <w:uiPriority w:val="99"/>
    <w:pPr>
      <w:widowControl/>
      <w:spacing w:before="240" w:after="60"/>
      <w:jc w:val="left"/>
      <w:outlineLvl w:val="5"/>
    </w:pPr>
    <w:rPr>
      <w:rFonts w:ascii="Calibri" w:hAnsi="Calibri" w:cs="Calibri"/>
      <w:b/>
      <w:bCs/>
      <w:kern w:val="0"/>
      <w:sz w:val="22"/>
      <w:szCs w:val="22"/>
    </w:rPr>
  </w:style>
  <w:style w:type="paragraph" w:styleId="8">
    <w:name w:val="heading 7"/>
    <w:basedOn w:val="1"/>
    <w:next w:val="1"/>
    <w:link w:val="32"/>
    <w:qFormat/>
    <w:uiPriority w:val="99"/>
    <w:pPr>
      <w:widowControl/>
      <w:spacing w:before="240" w:after="60"/>
      <w:jc w:val="left"/>
      <w:outlineLvl w:val="6"/>
    </w:pPr>
    <w:rPr>
      <w:rFonts w:ascii="Calibri" w:hAnsi="Calibri" w:cs="Calibri"/>
      <w:kern w:val="0"/>
      <w:sz w:val="24"/>
      <w:szCs w:val="24"/>
    </w:rPr>
  </w:style>
  <w:style w:type="paragraph" w:styleId="9">
    <w:name w:val="heading 8"/>
    <w:basedOn w:val="1"/>
    <w:next w:val="1"/>
    <w:link w:val="33"/>
    <w:qFormat/>
    <w:uiPriority w:val="99"/>
    <w:pPr>
      <w:widowControl/>
      <w:spacing w:before="240" w:after="60"/>
      <w:jc w:val="left"/>
      <w:outlineLvl w:val="7"/>
    </w:pPr>
    <w:rPr>
      <w:rFonts w:ascii="Calibri" w:hAnsi="Calibri" w:cs="Calibri"/>
      <w:i/>
      <w:iCs/>
      <w:kern w:val="0"/>
      <w:sz w:val="24"/>
      <w:szCs w:val="24"/>
    </w:rPr>
  </w:style>
  <w:style w:type="paragraph" w:styleId="10">
    <w:name w:val="heading 9"/>
    <w:basedOn w:val="1"/>
    <w:next w:val="1"/>
    <w:link w:val="34"/>
    <w:qFormat/>
    <w:uiPriority w:val="99"/>
    <w:pPr>
      <w:widowControl/>
      <w:spacing w:before="240" w:after="60"/>
      <w:jc w:val="left"/>
      <w:outlineLvl w:val="8"/>
    </w:pPr>
    <w:rPr>
      <w:rFonts w:ascii="Cambria" w:hAnsi="Cambria" w:cs="Cambr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text"/>
    <w:basedOn w:val="1"/>
    <w:link w:val="53"/>
    <w:semiHidden/>
    <w:unhideWhenUsed/>
    <w:locked/>
    <w:uiPriority w:val="99"/>
    <w:pPr>
      <w:jc w:val="left"/>
    </w:pPr>
  </w:style>
  <w:style w:type="paragraph" w:styleId="12">
    <w:name w:val="Balloon Text"/>
    <w:basedOn w:val="1"/>
    <w:link w:val="55"/>
    <w:semiHidden/>
    <w:unhideWhenUsed/>
    <w:qFormat/>
    <w:locked/>
    <w:uiPriority w:val="99"/>
    <w:rPr>
      <w:sz w:val="18"/>
      <w:szCs w:val="18"/>
    </w:rPr>
  </w:style>
  <w:style w:type="paragraph" w:styleId="13">
    <w:name w:val="footer"/>
    <w:basedOn w:val="1"/>
    <w:link w:val="35"/>
    <w:qFormat/>
    <w:uiPriority w:val="99"/>
    <w:pPr>
      <w:tabs>
        <w:tab w:val="center" w:pos="4153"/>
        <w:tab w:val="right" w:pos="8306"/>
      </w:tabs>
      <w:snapToGrid w:val="0"/>
      <w:jc w:val="left"/>
    </w:pPr>
    <w:rPr>
      <w:rFonts w:ascii="Calibri" w:hAnsi="Calibri" w:cs="Calibri"/>
      <w:sz w:val="18"/>
      <w:szCs w:val="18"/>
    </w:rPr>
  </w:style>
  <w:style w:type="paragraph" w:styleId="14">
    <w:name w:val="header"/>
    <w:basedOn w:val="1"/>
    <w:link w:val="36"/>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15">
    <w:name w:val="Subtitle"/>
    <w:basedOn w:val="1"/>
    <w:next w:val="1"/>
    <w:link w:val="37"/>
    <w:qFormat/>
    <w:uiPriority w:val="99"/>
    <w:pPr>
      <w:widowControl/>
      <w:spacing w:after="60"/>
      <w:jc w:val="center"/>
      <w:outlineLvl w:val="1"/>
    </w:pPr>
    <w:rPr>
      <w:rFonts w:ascii="Cambria" w:hAnsi="Cambria" w:cs="Cambria"/>
      <w:kern w:val="0"/>
      <w:sz w:val="24"/>
      <w:szCs w:val="24"/>
    </w:rPr>
  </w:style>
  <w:style w:type="paragraph" w:styleId="16">
    <w:name w:val="Normal (Web)"/>
    <w:basedOn w:val="1"/>
    <w:semiHidden/>
    <w:qFormat/>
    <w:uiPriority w:val="99"/>
    <w:pPr>
      <w:jc w:val="left"/>
    </w:pPr>
    <w:rPr>
      <w:kern w:val="0"/>
      <w:sz w:val="24"/>
      <w:szCs w:val="24"/>
    </w:rPr>
  </w:style>
  <w:style w:type="paragraph" w:styleId="17">
    <w:name w:val="Title"/>
    <w:basedOn w:val="1"/>
    <w:next w:val="1"/>
    <w:link w:val="38"/>
    <w:qFormat/>
    <w:uiPriority w:val="99"/>
    <w:pPr>
      <w:widowControl/>
      <w:spacing w:before="240" w:after="60"/>
      <w:jc w:val="center"/>
      <w:outlineLvl w:val="0"/>
    </w:pPr>
    <w:rPr>
      <w:rFonts w:ascii="Cambria" w:hAnsi="Cambria" w:cs="Cambria"/>
      <w:b/>
      <w:bCs/>
      <w:kern w:val="28"/>
      <w:sz w:val="32"/>
      <w:szCs w:val="32"/>
    </w:rPr>
  </w:style>
  <w:style w:type="paragraph" w:styleId="18">
    <w:name w:val="annotation subject"/>
    <w:basedOn w:val="11"/>
    <w:next w:val="11"/>
    <w:link w:val="54"/>
    <w:semiHidden/>
    <w:unhideWhenUsed/>
    <w:locked/>
    <w:uiPriority w:val="99"/>
    <w:rPr>
      <w:b/>
      <w:bCs/>
    </w:rPr>
  </w:style>
  <w:style w:type="character" w:styleId="21">
    <w:name w:val="Strong"/>
    <w:basedOn w:val="20"/>
    <w:qFormat/>
    <w:uiPriority w:val="99"/>
    <w:rPr>
      <w:b/>
      <w:bCs/>
    </w:rPr>
  </w:style>
  <w:style w:type="character" w:styleId="22">
    <w:name w:val="FollowedHyperlink"/>
    <w:basedOn w:val="20"/>
    <w:semiHidden/>
    <w:qFormat/>
    <w:uiPriority w:val="99"/>
    <w:rPr>
      <w:color w:val="auto"/>
      <w:u w:val="none"/>
    </w:rPr>
  </w:style>
  <w:style w:type="character" w:styleId="23">
    <w:name w:val="Emphasis"/>
    <w:basedOn w:val="20"/>
    <w:qFormat/>
    <w:uiPriority w:val="99"/>
    <w:rPr>
      <w:rFonts w:ascii="Calibri" w:hAnsi="Calibri" w:cs="Calibri"/>
      <w:b/>
      <w:bCs/>
      <w:i/>
      <w:iCs/>
    </w:rPr>
  </w:style>
  <w:style w:type="character" w:styleId="24">
    <w:name w:val="Hyperlink"/>
    <w:basedOn w:val="20"/>
    <w:semiHidden/>
    <w:uiPriority w:val="99"/>
    <w:rPr>
      <w:color w:val="auto"/>
      <w:u w:val="none"/>
    </w:rPr>
  </w:style>
  <w:style w:type="character" w:styleId="25">
    <w:name w:val="annotation reference"/>
    <w:basedOn w:val="20"/>
    <w:semiHidden/>
    <w:unhideWhenUsed/>
    <w:locked/>
    <w:uiPriority w:val="99"/>
    <w:rPr>
      <w:sz w:val="21"/>
      <w:szCs w:val="21"/>
    </w:rPr>
  </w:style>
  <w:style w:type="character" w:customStyle="1" w:styleId="26">
    <w:name w:val="标题 1 字符"/>
    <w:basedOn w:val="20"/>
    <w:link w:val="2"/>
    <w:qFormat/>
    <w:locked/>
    <w:uiPriority w:val="99"/>
    <w:rPr>
      <w:rFonts w:ascii="Cambria" w:hAnsi="Cambria" w:eastAsia="宋体" w:cs="Cambria"/>
      <w:b/>
      <w:bCs/>
      <w:kern w:val="32"/>
      <w:sz w:val="32"/>
      <w:szCs w:val="32"/>
    </w:rPr>
  </w:style>
  <w:style w:type="character" w:customStyle="1" w:styleId="27">
    <w:name w:val="标题 2 字符"/>
    <w:basedOn w:val="20"/>
    <w:link w:val="3"/>
    <w:semiHidden/>
    <w:locked/>
    <w:uiPriority w:val="99"/>
    <w:rPr>
      <w:rFonts w:ascii="Cambria" w:hAnsi="Cambria" w:eastAsia="宋体" w:cs="Cambria"/>
      <w:b/>
      <w:bCs/>
      <w:i/>
      <w:iCs/>
      <w:sz w:val="28"/>
      <w:szCs w:val="28"/>
    </w:rPr>
  </w:style>
  <w:style w:type="character" w:customStyle="1" w:styleId="28">
    <w:name w:val="标题 3 字符"/>
    <w:basedOn w:val="20"/>
    <w:link w:val="4"/>
    <w:semiHidden/>
    <w:qFormat/>
    <w:locked/>
    <w:uiPriority w:val="99"/>
    <w:rPr>
      <w:rFonts w:ascii="Cambria" w:hAnsi="Cambria" w:eastAsia="宋体" w:cs="Cambria"/>
      <w:b/>
      <w:bCs/>
      <w:sz w:val="26"/>
      <w:szCs w:val="26"/>
    </w:rPr>
  </w:style>
  <w:style w:type="character" w:customStyle="1" w:styleId="29">
    <w:name w:val="标题 4 字符"/>
    <w:basedOn w:val="20"/>
    <w:link w:val="5"/>
    <w:semiHidden/>
    <w:locked/>
    <w:uiPriority w:val="99"/>
    <w:rPr>
      <w:b/>
      <w:bCs/>
      <w:sz w:val="28"/>
      <w:szCs w:val="28"/>
    </w:rPr>
  </w:style>
  <w:style w:type="character" w:customStyle="1" w:styleId="30">
    <w:name w:val="标题 5 字符"/>
    <w:basedOn w:val="20"/>
    <w:link w:val="6"/>
    <w:semiHidden/>
    <w:locked/>
    <w:uiPriority w:val="99"/>
    <w:rPr>
      <w:b/>
      <w:bCs/>
      <w:i/>
      <w:iCs/>
      <w:sz w:val="26"/>
      <w:szCs w:val="26"/>
    </w:rPr>
  </w:style>
  <w:style w:type="character" w:customStyle="1" w:styleId="31">
    <w:name w:val="标题 6 字符"/>
    <w:basedOn w:val="20"/>
    <w:link w:val="7"/>
    <w:semiHidden/>
    <w:locked/>
    <w:uiPriority w:val="99"/>
    <w:rPr>
      <w:b/>
      <w:bCs/>
    </w:rPr>
  </w:style>
  <w:style w:type="character" w:customStyle="1" w:styleId="32">
    <w:name w:val="标题 7 字符"/>
    <w:basedOn w:val="20"/>
    <w:link w:val="8"/>
    <w:semiHidden/>
    <w:locked/>
    <w:uiPriority w:val="99"/>
    <w:rPr>
      <w:sz w:val="24"/>
      <w:szCs w:val="24"/>
    </w:rPr>
  </w:style>
  <w:style w:type="character" w:customStyle="1" w:styleId="33">
    <w:name w:val="标题 8 字符"/>
    <w:basedOn w:val="20"/>
    <w:link w:val="9"/>
    <w:semiHidden/>
    <w:locked/>
    <w:uiPriority w:val="99"/>
    <w:rPr>
      <w:i/>
      <w:iCs/>
      <w:sz w:val="24"/>
      <w:szCs w:val="24"/>
    </w:rPr>
  </w:style>
  <w:style w:type="character" w:customStyle="1" w:styleId="34">
    <w:name w:val="标题 9 字符"/>
    <w:basedOn w:val="20"/>
    <w:link w:val="10"/>
    <w:semiHidden/>
    <w:locked/>
    <w:uiPriority w:val="99"/>
    <w:rPr>
      <w:rFonts w:ascii="Cambria" w:hAnsi="Cambria" w:eastAsia="宋体" w:cs="Cambria"/>
    </w:rPr>
  </w:style>
  <w:style w:type="character" w:customStyle="1" w:styleId="35">
    <w:name w:val="页脚 字符"/>
    <w:basedOn w:val="20"/>
    <w:link w:val="13"/>
    <w:locked/>
    <w:uiPriority w:val="99"/>
    <w:rPr>
      <w:rFonts w:ascii="Calibri" w:hAnsi="Calibri" w:eastAsia="宋体" w:cs="Calibri"/>
      <w:kern w:val="2"/>
      <w:sz w:val="18"/>
      <w:szCs w:val="18"/>
    </w:rPr>
  </w:style>
  <w:style w:type="character" w:customStyle="1" w:styleId="36">
    <w:name w:val="页眉 字符"/>
    <w:basedOn w:val="20"/>
    <w:link w:val="14"/>
    <w:locked/>
    <w:uiPriority w:val="99"/>
    <w:rPr>
      <w:rFonts w:ascii="Calibri" w:hAnsi="Calibri" w:eastAsia="宋体" w:cs="Calibri"/>
      <w:kern w:val="2"/>
      <w:sz w:val="18"/>
      <w:szCs w:val="18"/>
    </w:rPr>
  </w:style>
  <w:style w:type="character" w:customStyle="1" w:styleId="37">
    <w:name w:val="副标题 字符"/>
    <w:basedOn w:val="20"/>
    <w:link w:val="15"/>
    <w:locked/>
    <w:uiPriority w:val="99"/>
    <w:rPr>
      <w:rFonts w:ascii="Cambria" w:hAnsi="Cambria" w:eastAsia="宋体" w:cs="Cambria"/>
      <w:sz w:val="24"/>
      <w:szCs w:val="24"/>
    </w:rPr>
  </w:style>
  <w:style w:type="character" w:customStyle="1" w:styleId="38">
    <w:name w:val="标题 字符"/>
    <w:basedOn w:val="20"/>
    <w:link w:val="17"/>
    <w:locked/>
    <w:uiPriority w:val="99"/>
    <w:rPr>
      <w:rFonts w:ascii="Cambria" w:hAnsi="Cambria" w:eastAsia="宋体" w:cs="Cambria"/>
      <w:b/>
      <w:bCs/>
      <w:kern w:val="28"/>
      <w:sz w:val="32"/>
      <w:szCs w:val="32"/>
    </w:rPr>
  </w:style>
  <w:style w:type="paragraph" w:styleId="39">
    <w:name w:val="No Spacing"/>
    <w:basedOn w:val="1"/>
    <w:qFormat/>
    <w:uiPriority w:val="99"/>
    <w:pPr>
      <w:widowControl/>
      <w:jc w:val="left"/>
    </w:pPr>
    <w:rPr>
      <w:rFonts w:ascii="Calibri" w:hAnsi="Calibri" w:cs="Calibri"/>
      <w:kern w:val="0"/>
      <w:sz w:val="24"/>
      <w:szCs w:val="24"/>
      <w:lang w:eastAsia="en-US"/>
    </w:rPr>
  </w:style>
  <w:style w:type="paragraph" w:styleId="40">
    <w:name w:val="List Paragraph"/>
    <w:basedOn w:val="1"/>
    <w:qFormat/>
    <w:uiPriority w:val="99"/>
    <w:pPr>
      <w:widowControl/>
      <w:ind w:left="720"/>
      <w:jc w:val="left"/>
    </w:pPr>
    <w:rPr>
      <w:rFonts w:ascii="Calibri" w:hAnsi="Calibri" w:cs="Calibri"/>
      <w:kern w:val="0"/>
      <w:sz w:val="24"/>
      <w:szCs w:val="24"/>
      <w:lang w:eastAsia="en-US"/>
    </w:rPr>
  </w:style>
  <w:style w:type="paragraph" w:styleId="41">
    <w:name w:val="Quote"/>
    <w:basedOn w:val="1"/>
    <w:next w:val="1"/>
    <w:link w:val="42"/>
    <w:qFormat/>
    <w:uiPriority w:val="99"/>
    <w:pPr>
      <w:widowControl/>
      <w:jc w:val="left"/>
    </w:pPr>
    <w:rPr>
      <w:rFonts w:ascii="Calibri" w:hAnsi="Calibri" w:cs="Calibri"/>
      <w:i/>
      <w:iCs/>
      <w:kern w:val="0"/>
      <w:sz w:val="24"/>
      <w:szCs w:val="24"/>
    </w:rPr>
  </w:style>
  <w:style w:type="character" w:customStyle="1" w:styleId="42">
    <w:name w:val="引用 字符"/>
    <w:basedOn w:val="20"/>
    <w:link w:val="41"/>
    <w:locked/>
    <w:uiPriority w:val="99"/>
    <w:rPr>
      <w:i/>
      <w:iCs/>
      <w:sz w:val="24"/>
      <w:szCs w:val="24"/>
    </w:rPr>
  </w:style>
  <w:style w:type="paragraph" w:styleId="43">
    <w:name w:val="Intense Quote"/>
    <w:basedOn w:val="1"/>
    <w:next w:val="1"/>
    <w:link w:val="44"/>
    <w:qFormat/>
    <w:uiPriority w:val="99"/>
    <w:pPr>
      <w:widowControl/>
      <w:ind w:left="720" w:right="720"/>
      <w:jc w:val="left"/>
    </w:pPr>
    <w:rPr>
      <w:rFonts w:ascii="Calibri" w:hAnsi="Calibri" w:cs="Calibri"/>
      <w:b/>
      <w:bCs/>
      <w:i/>
      <w:iCs/>
      <w:kern w:val="0"/>
      <w:sz w:val="24"/>
      <w:szCs w:val="24"/>
    </w:rPr>
  </w:style>
  <w:style w:type="character" w:customStyle="1" w:styleId="44">
    <w:name w:val="明显引用 字符"/>
    <w:basedOn w:val="20"/>
    <w:link w:val="43"/>
    <w:locked/>
    <w:uiPriority w:val="99"/>
    <w:rPr>
      <w:b/>
      <w:bCs/>
      <w:i/>
      <w:iCs/>
      <w:sz w:val="24"/>
      <w:szCs w:val="24"/>
    </w:rPr>
  </w:style>
  <w:style w:type="character" w:customStyle="1" w:styleId="45">
    <w:name w:val="Subtle Emphasis1"/>
    <w:basedOn w:val="20"/>
    <w:uiPriority w:val="99"/>
    <w:rPr>
      <w:i/>
      <w:iCs/>
      <w:color w:val="auto"/>
    </w:rPr>
  </w:style>
  <w:style w:type="character" w:customStyle="1" w:styleId="46">
    <w:name w:val="Intense Emphasis1"/>
    <w:basedOn w:val="20"/>
    <w:uiPriority w:val="99"/>
    <w:rPr>
      <w:b/>
      <w:bCs/>
      <w:i/>
      <w:iCs/>
      <w:sz w:val="24"/>
      <w:szCs w:val="24"/>
      <w:u w:val="single"/>
    </w:rPr>
  </w:style>
  <w:style w:type="character" w:customStyle="1" w:styleId="47">
    <w:name w:val="Subtle Reference1"/>
    <w:basedOn w:val="20"/>
    <w:uiPriority w:val="99"/>
    <w:rPr>
      <w:sz w:val="24"/>
      <w:szCs w:val="24"/>
      <w:u w:val="single"/>
    </w:rPr>
  </w:style>
  <w:style w:type="character" w:customStyle="1" w:styleId="48">
    <w:name w:val="Intense Reference1"/>
    <w:basedOn w:val="20"/>
    <w:uiPriority w:val="99"/>
    <w:rPr>
      <w:b/>
      <w:bCs/>
      <w:sz w:val="24"/>
      <w:szCs w:val="24"/>
      <w:u w:val="single"/>
    </w:rPr>
  </w:style>
  <w:style w:type="character" w:customStyle="1" w:styleId="49">
    <w:name w:val="Book Title1"/>
    <w:basedOn w:val="20"/>
    <w:uiPriority w:val="99"/>
    <w:rPr>
      <w:rFonts w:ascii="Cambria" w:hAnsi="Cambria" w:eastAsia="宋体" w:cs="Cambria"/>
      <w:b/>
      <w:bCs/>
      <w:i/>
      <w:iCs/>
      <w:sz w:val="24"/>
      <w:szCs w:val="24"/>
    </w:rPr>
  </w:style>
  <w:style w:type="paragraph" w:customStyle="1" w:styleId="50">
    <w:name w:val="TOC Heading1"/>
    <w:basedOn w:val="2"/>
    <w:next w:val="1"/>
    <w:uiPriority w:val="99"/>
    <w:pPr>
      <w:outlineLvl w:val="9"/>
    </w:pPr>
    <w:rPr>
      <w:lang w:eastAsia="en-US"/>
    </w:rPr>
  </w:style>
  <w:style w:type="character" w:customStyle="1" w:styleId="51">
    <w:name w:val="font71"/>
    <w:basedOn w:val="20"/>
    <w:uiPriority w:val="99"/>
    <w:rPr>
      <w:rFonts w:ascii="Times New Roman" w:hAnsi="Times New Roman" w:eastAsia="楷体_GB2312" w:cs="Times New Roman"/>
      <w:sz w:val="24"/>
      <w:szCs w:val="24"/>
    </w:rPr>
  </w:style>
  <w:style w:type="paragraph" w:customStyle="1" w:styleId="52">
    <w:name w:val="p0"/>
    <w:basedOn w:val="1"/>
    <w:uiPriority w:val="99"/>
    <w:pPr>
      <w:widowControl/>
    </w:pPr>
    <w:rPr>
      <w:kern w:val="0"/>
    </w:rPr>
  </w:style>
  <w:style w:type="character" w:customStyle="1" w:styleId="53">
    <w:name w:val="批注文字 字符"/>
    <w:basedOn w:val="20"/>
    <w:link w:val="11"/>
    <w:semiHidden/>
    <w:uiPriority w:val="99"/>
    <w:rPr>
      <w:rFonts w:ascii="Times New Roman" w:hAnsi="Times New Roman"/>
      <w:kern w:val="2"/>
      <w:sz w:val="21"/>
      <w:szCs w:val="21"/>
    </w:rPr>
  </w:style>
  <w:style w:type="character" w:customStyle="1" w:styleId="54">
    <w:name w:val="批注主题 字符"/>
    <w:basedOn w:val="53"/>
    <w:link w:val="18"/>
    <w:semiHidden/>
    <w:uiPriority w:val="99"/>
    <w:rPr>
      <w:rFonts w:ascii="Times New Roman" w:hAnsi="Times New Roman"/>
      <w:b/>
      <w:bCs/>
      <w:kern w:val="2"/>
      <w:sz w:val="21"/>
      <w:szCs w:val="21"/>
    </w:rPr>
  </w:style>
  <w:style w:type="character" w:customStyle="1" w:styleId="55">
    <w:name w:val="批注框文本 字符"/>
    <w:basedOn w:val="20"/>
    <w:link w:val="1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208</Words>
  <Characters>1189</Characters>
  <Lines>9</Lines>
  <Paragraphs>2</Paragraphs>
  <TotalTime>1</TotalTime>
  <ScaleCrop>false</ScaleCrop>
  <LinksUpToDate>false</LinksUpToDate>
  <CharactersWithSpaces>1395</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2018-12-13T12:14:00Z</dcterms:created>
  <dc:creator>赵 恺（预算处）</dc:creator>
  <cp:lastModifiedBy>Administrator</cp:lastModifiedBy>
  <cp:lastPrinted>2018-12-23T11:00:00Z</cp:lastPrinted>
  <dcterms:modified xsi:type="dcterms:W3CDTF">2021-07-01T12:28:21Z</dcterms:modified>
  <dc:title>（参考提纲）</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